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CONTRATO DE COMPARAVENTA DE BIENES MUEBLES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............ a ...............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REUNIDOS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 una parte D./D.ª ............ con DNI n.º ......... y domicilio en .............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 de otra D./D.ª ..............., mayor de edad, con D.N.I. ............ y domicilio en ............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ACUERDAN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Celebrar un contrato de COMPRAVENTA de bienes muebles, de conformidad con las siguientes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CLÁUSULAS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1.ª Que D./D.ª ............ es propietario del vehículo ............ matrícula ............ adquirido en fecha ......... a ............. Está al corriente en el pago de los impuestos municipales, y dicho vehículo no tiene carga o reserva de propiedad alguna, habiéndose abonado totalmente su precio al vendedor original.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2.ª Que D./D.ª ............ está interesado en la adquisición de dicho vehículo, acordando las partes un precio total de ............ euros, que se abonará por el comprador de la manera siguiente .............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3.ª Que en este acto, el vendedor entrega al comprador las llaves de dicho vehículo, así como la documentación del mismo.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comprador declara que ha inspeccionado el citado bien y acepta las condiciones en que se encuentra, sin perjuicio de vicios ocultos por los que el vendedor se obliga a la correspondiente evicción y saneamiento.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4.ª Los gastos de gestoría y cambio de titular ante la Delegación Provincial de Tráfico serán de cuenta de ...................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5.º</w:t>
      </w:r>
      <w:r w:rsidDel="00000000" w:rsidR="00000000" w:rsidRPr="00000000">
        <w:rPr>
          <w:rtl w:val="0"/>
        </w:rPr>
        <w:t xml:space="preserve"> Las partes acuerdan someterse para la resolución de cualquier controversia, conflicto o reclamación derivada del presente contrato a un procedimiento de Mediación Civil y Mercantil, de acuerdo con el contenido de la Ley 5/2102, de Mediación en Asuntos Civiles y Mercantiles, que se administrará por la ASOCIACIÓN ESPAÑOLA DE MEDIACIÓN, con sujeción a sus estatutos y demás normas que resulten de aplicación y que se encuentren vigentes en la fecha de solicitud de la mediación, para ello cualquiera de las partes puede dirigirse a dicha Asociación a través de su página web www.asemed.org o al propio Centro de Mediación e-mail: centrodemediacion@asemed.org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Subsidiariamente a lo anterior y, para el hipotético caso de que se dé entre las partes las siguientes situaciones: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1º Una vez celebrada al menos la sesión informativa de mediación, una de las partes o ambas, rechazan o no aceptan el procedimiento de mediación,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2º O Iniciada la mediación las partes  renunciar a continuar con la misma, o no llegan a acuerdo,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Las partes quedan sometidas en segundo lugar y con carácter subsidiario, al procedimiento de Arbitraje, de acuerdo con el contenido de la Ley 60/2003, de 23 de diciembre, de Arbitraje, para poder poner solución a dicha controversia, que se administrará por la CÁMARA DE ARBITRAJE DE ASEMED, con sujeción a sus estatutos y demás normas que resulten de aplicación y que se encuentren vigentes en la fecha de solicitud del procedimiento de Arbitraje, para ello cualquiera de las partes puede dirigirse a dicha Cámara de Arbitraje a través de su página web http://www.asemed.org/arbitraje/  o al propio e-mail habilitado para la solicitudes de arbitraje: arbitraje@asemed.org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Firmas .....................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10058400</wp:posOffset>
              </wp:positionV>
              <wp:extent cx="1292225" cy="35306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04650" y="3608233"/>
                        <a:ext cx="1282700" cy="343535"/>
                      </a:xfrm>
                      <a:prstGeom prst="ellipseRibbon">
                        <a:avLst>
                          <a:gd fmla="val 25000" name="adj1"/>
                          <a:gd fmla="val 50000" name="adj2"/>
                          <a:gd fmla="val 12500" name="adj3"/>
                        </a:avLst>
                      </a:prstGeom>
                      <a:noFill/>
                      <a:ln cap="flat" cmpd="sng" w="9525">
                        <a:solidFill>
                          <a:srgbClr val="6FA0D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   \* MERGEFORMAT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4f81bd"/>
                              <w:sz w:val="22"/>
                              <w:vertAlign w:val="baseline"/>
                            </w:rPr>
                            <w:t xml:space="preserve">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4f81bd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10058400</wp:posOffset>
              </wp:positionV>
              <wp:extent cx="1292225" cy="35306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2225" cy="353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25.0pt;height:295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25.0pt;height:295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  <w:drawing>
        <wp:inline distB="0" distT="0" distL="114300" distR="114300">
          <wp:extent cx="1007110" cy="700405"/>
          <wp:effectExtent b="0" l="0" r="0" t="0"/>
          <wp:docPr descr="LOGO ASEMED.png" id="1027" name="image1.png"/>
          <a:graphic>
            <a:graphicData uri="http://schemas.openxmlformats.org/drawingml/2006/picture">
              <pic:pic>
                <pic:nvPicPr>
                  <pic:cNvPr descr="LOGO ASEMED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7110" cy="700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25.0pt;height:295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1cSS6jJq5EotVT+mKg7+SqzRNw==">CgMxLjA4AHIhMWttelBqVVcwTmo3bUp2X1Z3TE1YX1k2bWtsZDJmeW5y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2015-10-30T12:27:00Z</dcterms:created>
  <dc:creator>Jesús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